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3C9656D" w:rsidR="00A941DF" w:rsidRPr="00EE006E" w:rsidRDefault="00B40A97"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DA0D39">
        <w:rPr>
          <w:b/>
          <w:sz w:val="24"/>
          <w:szCs w:val="24"/>
        </w:rPr>
        <w:t>bis</w:t>
      </w:r>
      <w:bookmarkStart w:id="2" w:name="_GoBack"/>
      <w:bookmarkEnd w:id="2"/>
      <w:r w:rsidR="004719C3">
        <w:rPr>
          <w:b/>
          <w:sz w:val="24"/>
          <w:szCs w:val="24"/>
        </w:rPr>
        <w:t>-e</w:t>
      </w:r>
      <w:r w:rsidR="00A941DF" w:rsidRPr="00121C7F">
        <w:rPr>
          <w:rFonts w:hint="eastAsia"/>
          <w:b/>
          <w:sz w:val="24"/>
          <w:szCs w:val="24"/>
          <w:lang w:eastAsia="ko-KR"/>
        </w:rPr>
        <w:tab/>
      </w:r>
      <w:r w:rsidR="0081441B" w:rsidRPr="0081441B">
        <w:rPr>
          <w:b/>
          <w:sz w:val="24"/>
          <w:szCs w:val="24"/>
          <w:lang w:eastAsia="ko-KR"/>
        </w:rPr>
        <w:t>R1-2200217</w:t>
      </w:r>
    </w:p>
    <w:bookmarkEnd w:id="0"/>
    <w:bookmarkEnd w:id="1"/>
    <w:p w14:paraId="38D4F591" w14:textId="020AC632"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B40A97" w:rsidRPr="00B40A97">
        <w:rPr>
          <w:rFonts w:ascii="Arial" w:hAnsi="Arial"/>
          <w:b/>
          <w:bCs/>
          <w:noProof/>
          <w:sz w:val="24"/>
          <w:szCs w:val="24"/>
        </w:rPr>
        <w:t>November 11th – 19th, 2021</w:t>
      </w:r>
    </w:p>
    <w:p w14:paraId="08664EDD" w14:textId="2983EA9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184451">
        <w:rPr>
          <w:rFonts w:ascii="Arial" w:hAnsi="Arial"/>
          <w:sz w:val="24"/>
        </w:rPr>
        <w:t>8.15</w:t>
      </w:r>
      <w:r w:rsidR="00A31EC1">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14AA37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31EC1" w:rsidRPr="00A31EC1">
        <w:rPr>
          <w:rFonts w:ascii="Arial" w:hAnsi="Arial"/>
          <w:sz w:val="24"/>
        </w:rPr>
        <w:t>UE features for supporting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77347073" w:rsidR="00294193" w:rsidRDefault="00294193" w:rsidP="00AF2DD0">
      <w:pPr>
        <w:spacing w:before="240"/>
        <w:rPr>
          <w:lang w:eastAsia="x-none"/>
        </w:rPr>
      </w:pPr>
      <w:r>
        <w:rPr>
          <w:lang w:eastAsia="x-none"/>
        </w:rPr>
        <w:t xml:space="preserve">This contribution </w:t>
      </w:r>
      <w:r w:rsidR="00A31EC1">
        <w:rPr>
          <w:lang w:eastAsia="x-none"/>
        </w:rPr>
        <w:t xml:space="preserve">includes comments for Rel-17 UE features for supporting </w:t>
      </w:r>
      <w:r>
        <w:rPr>
          <w:lang w:eastAsia="x-none"/>
        </w:rPr>
        <w:t xml:space="preserve">NR </w:t>
      </w:r>
      <w:r w:rsidR="00A31EC1">
        <w:rPr>
          <w:lang w:eastAsia="x-none"/>
        </w:rPr>
        <w:t xml:space="preserve">from </w:t>
      </w:r>
      <w:r>
        <w:rPr>
          <w:lang w:eastAsia="x-none"/>
        </w:rPr>
        <w:t xml:space="preserve">52.6 </w:t>
      </w:r>
      <w:r w:rsidR="00A31EC1">
        <w:rPr>
          <w:lang w:eastAsia="x-none"/>
        </w:rPr>
        <w:t xml:space="preserve">GHz </w:t>
      </w:r>
      <w:r>
        <w:rPr>
          <w:lang w:eastAsia="x-none"/>
        </w:rPr>
        <w:t>to 71 GHz</w:t>
      </w:r>
      <w:r w:rsidR="00A31EC1">
        <w:rPr>
          <w:lang w:eastAsia="x-none"/>
        </w:rPr>
        <w:t xml:space="preserve">, as drafted in </w:t>
      </w:r>
      <w:r w:rsidR="00184451">
        <w:rPr>
          <w:lang w:val="en-US" w:eastAsia="x-none"/>
        </w:rPr>
        <w:t>R1-2112902</w:t>
      </w:r>
      <w:r w:rsidR="001E20A3">
        <w:rPr>
          <w:lang w:eastAsia="x-none"/>
        </w:rPr>
        <w:t xml:space="preserve"> </w:t>
      </w:r>
      <w:r w:rsidR="00A31EC1">
        <w:rPr>
          <w:lang w:eastAsia="x-none"/>
        </w:rPr>
        <w:t>[1]</w:t>
      </w:r>
      <w:r>
        <w:rPr>
          <w:lang w:eastAsia="x-none"/>
        </w:rPr>
        <w:t>.</w:t>
      </w:r>
    </w:p>
    <w:p w14:paraId="74565B36" w14:textId="4C060923" w:rsidR="0028289A" w:rsidRDefault="00334AE8"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Comments to FG </w:t>
      </w:r>
      <w:r w:rsidR="00AF10C0">
        <w:rPr>
          <w:szCs w:val="20"/>
          <w:lang w:val="en-US"/>
        </w:rPr>
        <w:t>24-1</w:t>
      </w:r>
      <w:r w:rsidR="00184451">
        <w:rPr>
          <w:szCs w:val="20"/>
          <w:lang w:val="en-US"/>
        </w:rPr>
        <w:t xml:space="preserve"> and 24-1a</w:t>
      </w:r>
    </w:p>
    <w:p w14:paraId="310A48C4" w14:textId="70885BC9" w:rsidR="00025E00" w:rsidRDefault="00AF10C0" w:rsidP="00025E00">
      <w:pPr>
        <w:tabs>
          <w:tab w:val="left" w:pos="1300"/>
        </w:tabs>
        <w:spacing w:after="0"/>
        <w:jc w:val="both"/>
        <w:rPr>
          <w:lang w:eastAsia="x-none"/>
        </w:rPr>
      </w:pPr>
      <w:r>
        <w:rPr>
          <w:lang w:val="en-US"/>
        </w:rPr>
        <w:t xml:space="preserve">RAN and RAN1 have agreed to support 120 kHz SCS as the default numerology for supporting NR from 52.6 GHz to 71 GHz, and support 480 kHz and 960 kHz as optional numerologies subject to UE’s capability. Based on this principle, </w:t>
      </w:r>
      <w:r w:rsidR="001E20A3">
        <w:rPr>
          <w:lang w:val="en-US"/>
        </w:rPr>
        <w:t>basic</w:t>
      </w:r>
      <w:r>
        <w:rPr>
          <w:lang w:val="en-US"/>
        </w:rPr>
        <w:t xml:space="preserve"> support for </w:t>
      </w:r>
      <w:r>
        <w:rPr>
          <w:lang w:eastAsia="x-none"/>
        </w:rPr>
        <w:t xml:space="preserve">NR from 52.6 GHz to 71 GHz with 120 kHz SCS should be a mandatory UE feature, with the type of the UE feature as per band. </w:t>
      </w:r>
    </w:p>
    <w:p w14:paraId="3A363497" w14:textId="77777777" w:rsidR="00184451" w:rsidRDefault="00184451" w:rsidP="00025E00">
      <w:pPr>
        <w:tabs>
          <w:tab w:val="left" w:pos="1300"/>
        </w:tabs>
        <w:spacing w:after="0"/>
        <w:jc w:val="both"/>
        <w:rPr>
          <w:lang w:eastAsia="x-none"/>
        </w:rPr>
      </w:pPr>
    </w:p>
    <w:p w14:paraId="28D52373" w14:textId="13BDB9AA" w:rsidR="00184451" w:rsidRDefault="00184451" w:rsidP="00025E00">
      <w:pPr>
        <w:tabs>
          <w:tab w:val="left" w:pos="1300"/>
        </w:tabs>
        <w:spacing w:after="0"/>
        <w:jc w:val="both"/>
        <w:rPr>
          <w:lang w:eastAsia="x-none"/>
        </w:rPr>
      </w:pPr>
      <w:r>
        <w:rPr>
          <w:lang w:eastAsia="x-none"/>
        </w:rPr>
        <w:t>Meanwhile, only essential operation with 120 kHz SCS should be considered as component(s) of the basic support, wherein essential operation can be understood as the minimum set of features supporting development scenarios in FR2-2. Considering there are agreed development scenarios with DL only or UL only on FR2-2, it’s beneficial to distinguish DL and UL as two separate basic FR2-2 feature groups, without using each other as a prerequisite feature group.</w:t>
      </w:r>
    </w:p>
    <w:p w14:paraId="55212FD0" w14:textId="62307C99" w:rsidR="00AF10C0" w:rsidRDefault="00AF10C0" w:rsidP="00025E00">
      <w:pPr>
        <w:tabs>
          <w:tab w:val="left" w:pos="1300"/>
        </w:tabs>
        <w:spacing w:after="0"/>
        <w:jc w:val="both"/>
        <w:rPr>
          <w:lang w:eastAsia="x-none"/>
        </w:rPr>
      </w:pPr>
    </w:p>
    <w:p w14:paraId="0259F9B3" w14:textId="2AA8FC1E" w:rsidR="00184451" w:rsidRDefault="00184451" w:rsidP="00184451">
      <w:pPr>
        <w:tabs>
          <w:tab w:val="left" w:pos="1300"/>
        </w:tabs>
        <w:spacing w:after="0"/>
        <w:jc w:val="both"/>
        <w:rPr>
          <w:b/>
          <w:u w:val="single"/>
          <w:lang w:val="en-US"/>
        </w:rPr>
      </w:pPr>
      <w:r>
        <w:rPr>
          <w:b/>
          <w:u w:val="single"/>
          <w:lang w:eastAsia="x-none"/>
        </w:rPr>
        <w:t>Proposal 1: For FG 24-1 and 24-1a, keep current formulation to s</w:t>
      </w:r>
      <w:r>
        <w:rPr>
          <w:b/>
          <w:u w:val="single"/>
          <w:lang w:val="en-US"/>
        </w:rPr>
        <w:t>eparate DL and UL operations as two basic FGs.</w:t>
      </w:r>
    </w:p>
    <w:p w14:paraId="442FC9D2" w14:textId="11ED1374" w:rsidR="00C42051" w:rsidRDefault="00C42051" w:rsidP="00C4205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Comments to FG 24-1b and 24-1c</w:t>
      </w:r>
    </w:p>
    <w:p w14:paraId="71017DE1" w14:textId="03B8C17C" w:rsidR="00C42051" w:rsidRDefault="00C42051" w:rsidP="00C42051">
      <w:pPr>
        <w:tabs>
          <w:tab w:val="left" w:pos="1300"/>
        </w:tabs>
        <w:spacing w:after="0"/>
        <w:jc w:val="both"/>
        <w:rPr>
          <w:lang w:eastAsia="x-none"/>
        </w:rPr>
      </w:pPr>
      <w:r>
        <w:rPr>
          <w:lang w:eastAsia="x-none"/>
        </w:rPr>
        <w:t xml:space="preserve">Wideband PRACH is motivated by operation with shared spectrum channel access, but in general applicable to both operations with and without shared spectrum channel access. It may not be needed as basic FG, since PRACH with sequence length 139 was supported as basic FG for all the SCSs. </w:t>
      </w:r>
    </w:p>
    <w:p w14:paraId="61E3563C" w14:textId="77777777" w:rsidR="00C42051" w:rsidRDefault="00C42051" w:rsidP="00C42051">
      <w:pPr>
        <w:tabs>
          <w:tab w:val="left" w:pos="1300"/>
        </w:tabs>
        <w:spacing w:after="0"/>
        <w:jc w:val="both"/>
        <w:rPr>
          <w:lang w:eastAsia="x-none"/>
        </w:rPr>
      </w:pPr>
    </w:p>
    <w:p w14:paraId="69A17330" w14:textId="1E424FF0" w:rsidR="00C42051" w:rsidRDefault="00C42051" w:rsidP="00C42051">
      <w:pPr>
        <w:tabs>
          <w:tab w:val="left" w:pos="1300"/>
        </w:tabs>
        <w:spacing w:after="0"/>
        <w:jc w:val="both"/>
        <w:rPr>
          <w:lang w:eastAsia="x-none"/>
        </w:rPr>
      </w:pPr>
      <w:r>
        <w:rPr>
          <w:lang w:eastAsia="x-none"/>
        </w:rPr>
        <w:t xml:space="preserve">Multi-RB PUCCH format is an enhancement considered for operation with shared spectrum channel access only, as identified in RP-213637, so it should not be included as the basic FG.   </w:t>
      </w:r>
    </w:p>
    <w:p w14:paraId="2E1058EA" w14:textId="30EE137E" w:rsidR="00C42051" w:rsidRDefault="00C42051" w:rsidP="00C42051">
      <w:pPr>
        <w:tabs>
          <w:tab w:val="left" w:pos="1300"/>
        </w:tabs>
        <w:spacing w:after="0"/>
        <w:jc w:val="both"/>
        <w:rPr>
          <w:b/>
          <w:u w:val="single"/>
        </w:rPr>
      </w:pPr>
    </w:p>
    <w:p w14:paraId="046774FB" w14:textId="408F7F16" w:rsidR="00C42051" w:rsidRDefault="00C42051" w:rsidP="00C42051">
      <w:pPr>
        <w:tabs>
          <w:tab w:val="left" w:pos="1300"/>
        </w:tabs>
        <w:spacing w:after="0"/>
        <w:jc w:val="both"/>
        <w:rPr>
          <w:b/>
          <w:u w:val="single"/>
          <w:lang w:val="en-US"/>
        </w:rPr>
      </w:pPr>
      <w:r>
        <w:rPr>
          <w:b/>
          <w:u w:val="single"/>
          <w:lang w:eastAsia="x-none"/>
        </w:rPr>
        <w:t>Proposal 2: FG 24-1b and 24-1c should not be included as basic UL FGs, and FG 24-1c should be for operation with shared spectrum channel access only</w:t>
      </w:r>
      <w:r>
        <w:rPr>
          <w:b/>
          <w:u w:val="single"/>
          <w:lang w:val="en-US"/>
        </w:rPr>
        <w:t>.</w:t>
      </w:r>
    </w:p>
    <w:p w14:paraId="2E28A67F" w14:textId="45F6C1AA" w:rsidR="00334AE8" w:rsidRDefault="005270F0" w:rsidP="00334A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Comments to FG 24-</w:t>
      </w:r>
      <w:r w:rsidR="007B2064">
        <w:rPr>
          <w:szCs w:val="20"/>
          <w:lang w:val="en-US"/>
        </w:rPr>
        <w:t>8 ad 24-9</w:t>
      </w:r>
    </w:p>
    <w:p w14:paraId="7C6AF43C" w14:textId="6325C216" w:rsidR="00334AE8" w:rsidRDefault="007B2064" w:rsidP="00025E00">
      <w:pPr>
        <w:tabs>
          <w:tab w:val="left" w:pos="1300"/>
        </w:tabs>
        <w:spacing w:after="0"/>
        <w:jc w:val="both"/>
        <w:rPr>
          <w:lang w:val="en-US"/>
        </w:rPr>
      </w:pPr>
      <w:r>
        <w:rPr>
          <w:lang w:val="en-US"/>
        </w:rPr>
        <w:t>It was agreed to support 32 DL and UL HARQ processes, using same solution as in NTN</w:t>
      </w:r>
      <w:r>
        <w:rPr>
          <w:lang w:eastAsia="x-none"/>
        </w:rPr>
        <w:t xml:space="preserve">, but for UE features, the FGs of supporting </w:t>
      </w:r>
      <w:r>
        <w:rPr>
          <w:lang w:val="en-US"/>
        </w:rPr>
        <w:t xml:space="preserve">32 DL and UL HARQ processes should be separate from the corresponding FGs for NTN, since the type of UE to support those FGs can be different. </w:t>
      </w:r>
      <w:r w:rsidR="00C42051">
        <w:rPr>
          <w:lang w:val="en-US"/>
        </w:rPr>
        <w:t>Also, when the agreement was made, the motivation is clearly for 480 and 960 kHz SCSs only, to address the enlarged number of transmissions due to shorter slot duration, so the discussion should not be repeated for 120 kHz in the UE feature discussion. Lastly</w:t>
      </w:r>
      <w:r>
        <w:rPr>
          <w:lang w:val="en-US"/>
        </w:rPr>
        <w:t xml:space="preserve">, the supporting of FG 24-8 and 24-9 should be per FSPC. </w:t>
      </w:r>
    </w:p>
    <w:p w14:paraId="49D9702F" w14:textId="35B19BA8" w:rsidR="00334AE8" w:rsidRDefault="00334AE8" w:rsidP="00025E00">
      <w:pPr>
        <w:tabs>
          <w:tab w:val="left" w:pos="1300"/>
        </w:tabs>
        <w:spacing w:after="0"/>
        <w:jc w:val="both"/>
        <w:rPr>
          <w:lang w:val="en-US"/>
        </w:rPr>
      </w:pPr>
    </w:p>
    <w:p w14:paraId="79AD5B0A" w14:textId="36530548" w:rsidR="00334AE8" w:rsidRPr="006A74CB" w:rsidRDefault="006A74CB" w:rsidP="00025E00">
      <w:pPr>
        <w:tabs>
          <w:tab w:val="left" w:pos="1300"/>
        </w:tabs>
        <w:spacing w:after="0"/>
        <w:jc w:val="both"/>
        <w:rPr>
          <w:b/>
          <w:u w:val="single"/>
          <w:lang w:val="en-US"/>
        </w:rPr>
      </w:pPr>
      <w:r w:rsidRPr="006A74CB">
        <w:rPr>
          <w:b/>
          <w:u w:val="single"/>
          <w:lang w:val="en-US"/>
        </w:rPr>
        <w:t xml:space="preserve">Proposal 3: </w:t>
      </w:r>
      <w:r w:rsidR="007B2064">
        <w:rPr>
          <w:b/>
          <w:u w:val="single"/>
          <w:lang w:eastAsia="x-none"/>
        </w:rPr>
        <w:t>For FG 24-8 and FG 24-9</w:t>
      </w:r>
      <w:r>
        <w:rPr>
          <w:b/>
          <w:u w:val="single"/>
          <w:lang w:val="en-US"/>
        </w:rPr>
        <w:t>:</w:t>
      </w:r>
    </w:p>
    <w:p w14:paraId="465FFD25" w14:textId="3A93C06D" w:rsidR="006A74CB" w:rsidRDefault="007B2064" w:rsidP="006A74CB">
      <w:pPr>
        <w:pStyle w:val="ListParagraph"/>
        <w:numPr>
          <w:ilvl w:val="0"/>
          <w:numId w:val="38"/>
        </w:numPr>
        <w:spacing w:after="0"/>
        <w:ind w:leftChars="0"/>
        <w:rPr>
          <w:b/>
          <w:u w:val="single"/>
        </w:rPr>
      </w:pPr>
      <w:r>
        <w:rPr>
          <w:b/>
          <w:u w:val="single"/>
        </w:rPr>
        <w:t>Keep the FGs separately from supporting 32 HARQ processes in NTN</w:t>
      </w:r>
      <w:r w:rsidR="006A74CB">
        <w:rPr>
          <w:b/>
          <w:u w:val="single"/>
        </w:rPr>
        <w:t>;</w:t>
      </w:r>
    </w:p>
    <w:p w14:paraId="5149E7CB" w14:textId="56BC8588" w:rsidR="00C42051" w:rsidRPr="006A74CB" w:rsidRDefault="00C42051" w:rsidP="006A74CB">
      <w:pPr>
        <w:pStyle w:val="ListParagraph"/>
        <w:numPr>
          <w:ilvl w:val="0"/>
          <w:numId w:val="38"/>
        </w:numPr>
        <w:spacing w:after="0"/>
        <w:ind w:leftChars="0"/>
        <w:rPr>
          <w:b/>
          <w:u w:val="single"/>
        </w:rPr>
      </w:pPr>
      <w:r>
        <w:rPr>
          <w:b/>
          <w:u w:val="single"/>
        </w:rPr>
        <w:t>Remove “FFS: 120 kHz” in the two FGs;</w:t>
      </w:r>
    </w:p>
    <w:p w14:paraId="1094332E" w14:textId="0626AFD7" w:rsidR="006A74CB" w:rsidRPr="006A74CB" w:rsidRDefault="007B2064" w:rsidP="006A74CB">
      <w:pPr>
        <w:pStyle w:val="ListParagraph"/>
        <w:numPr>
          <w:ilvl w:val="0"/>
          <w:numId w:val="38"/>
        </w:numPr>
        <w:spacing w:after="0"/>
        <w:ind w:leftChars="0"/>
        <w:rPr>
          <w:b/>
          <w:u w:val="single"/>
        </w:rPr>
      </w:pPr>
      <w:r>
        <w:rPr>
          <w:b/>
          <w:u w:val="single"/>
        </w:rPr>
        <w:t>“Type” of the FGs are</w:t>
      </w:r>
      <w:r w:rsidR="00625192">
        <w:rPr>
          <w:b/>
          <w:u w:val="single"/>
        </w:rPr>
        <w:t xml:space="preserve"> per FSPC</w:t>
      </w:r>
      <w:r w:rsidR="006A74CB">
        <w:rPr>
          <w:b/>
          <w:u w:val="single"/>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080C5E10" w14:textId="0848A87E" w:rsidR="00053892" w:rsidRDefault="00137044" w:rsidP="00AF10C0">
      <w:r>
        <w:t xml:space="preserve">The </w:t>
      </w:r>
      <w:r w:rsidR="0028289A">
        <w:t>proposals</w:t>
      </w:r>
      <w:r w:rsidR="00815493" w:rsidRPr="00816B5E">
        <w:t xml:space="preserve"> made in this contribution </w:t>
      </w:r>
      <w:r w:rsidR="001855F9">
        <w:t>are</w:t>
      </w:r>
      <w:r w:rsidR="00815493" w:rsidRPr="00816B5E">
        <w:t xml:space="preserve"> summarized below:</w:t>
      </w:r>
    </w:p>
    <w:p w14:paraId="6B6A58AA" w14:textId="77777777" w:rsidR="00C42051" w:rsidRDefault="00C42051" w:rsidP="00C42051">
      <w:pPr>
        <w:tabs>
          <w:tab w:val="left" w:pos="1300"/>
        </w:tabs>
        <w:spacing w:after="0"/>
        <w:jc w:val="both"/>
        <w:rPr>
          <w:b/>
          <w:u w:val="single"/>
          <w:lang w:val="en-US"/>
        </w:rPr>
      </w:pPr>
      <w:r>
        <w:rPr>
          <w:b/>
          <w:u w:val="single"/>
          <w:lang w:eastAsia="x-none"/>
        </w:rPr>
        <w:t>Proposal 1: For FG 24-1 and 24-1a, keep current formulation to s</w:t>
      </w:r>
      <w:r>
        <w:rPr>
          <w:b/>
          <w:u w:val="single"/>
          <w:lang w:val="en-US"/>
        </w:rPr>
        <w:t>eparate DL and UL operations as two basic FGs.</w:t>
      </w:r>
    </w:p>
    <w:p w14:paraId="41CD9F9F" w14:textId="0C5F16C9" w:rsidR="005D3C76" w:rsidRDefault="005D3C76" w:rsidP="005D3C76">
      <w:pPr>
        <w:tabs>
          <w:tab w:val="left" w:pos="1300"/>
        </w:tabs>
        <w:spacing w:after="0"/>
        <w:jc w:val="both"/>
        <w:rPr>
          <w:b/>
          <w:u w:val="single"/>
          <w:lang w:val="en-US"/>
        </w:rPr>
      </w:pPr>
    </w:p>
    <w:p w14:paraId="2CCCFC64" w14:textId="77777777" w:rsidR="00C42051" w:rsidRDefault="00C42051" w:rsidP="00C42051">
      <w:pPr>
        <w:tabs>
          <w:tab w:val="left" w:pos="1300"/>
        </w:tabs>
        <w:spacing w:after="0"/>
        <w:jc w:val="both"/>
        <w:rPr>
          <w:b/>
          <w:u w:val="single"/>
          <w:lang w:val="en-US"/>
        </w:rPr>
      </w:pPr>
      <w:r>
        <w:rPr>
          <w:b/>
          <w:u w:val="single"/>
          <w:lang w:eastAsia="x-none"/>
        </w:rPr>
        <w:t>Proposal 2: FG 24-1b and 24-1c should not be included as basic UL FGs, and FG 24-1c should be for operation with shared spectrum channel access only</w:t>
      </w:r>
      <w:r>
        <w:rPr>
          <w:b/>
          <w:u w:val="single"/>
          <w:lang w:val="en-US"/>
        </w:rPr>
        <w:t>.</w:t>
      </w:r>
    </w:p>
    <w:p w14:paraId="36F9C7CE" w14:textId="45EB4EF2" w:rsidR="005D3C76" w:rsidRDefault="005D3C76" w:rsidP="005D3C76">
      <w:pPr>
        <w:tabs>
          <w:tab w:val="left" w:pos="1300"/>
        </w:tabs>
        <w:spacing w:after="0"/>
        <w:jc w:val="both"/>
        <w:rPr>
          <w:b/>
          <w:u w:val="single"/>
          <w:lang w:val="en-US"/>
        </w:rPr>
      </w:pPr>
    </w:p>
    <w:p w14:paraId="74F9A8B2" w14:textId="77777777" w:rsidR="00C42051" w:rsidRPr="006A74CB" w:rsidRDefault="00C42051" w:rsidP="00C42051">
      <w:pPr>
        <w:tabs>
          <w:tab w:val="left" w:pos="1300"/>
        </w:tabs>
        <w:spacing w:after="0"/>
        <w:jc w:val="both"/>
        <w:rPr>
          <w:b/>
          <w:u w:val="single"/>
          <w:lang w:val="en-US"/>
        </w:rPr>
      </w:pPr>
      <w:r w:rsidRPr="006A74CB">
        <w:rPr>
          <w:b/>
          <w:u w:val="single"/>
          <w:lang w:val="en-US"/>
        </w:rPr>
        <w:t xml:space="preserve">Proposal 3: </w:t>
      </w:r>
      <w:r>
        <w:rPr>
          <w:b/>
          <w:u w:val="single"/>
          <w:lang w:eastAsia="x-none"/>
        </w:rPr>
        <w:t>For FG 24-8 and FG 24-9</w:t>
      </w:r>
      <w:r>
        <w:rPr>
          <w:b/>
          <w:u w:val="single"/>
          <w:lang w:val="en-US"/>
        </w:rPr>
        <w:t>:</w:t>
      </w:r>
    </w:p>
    <w:p w14:paraId="28C99EEA" w14:textId="77777777" w:rsidR="00C42051" w:rsidRDefault="00C42051" w:rsidP="00C42051">
      <w:pPr>
        <w:pStyle w:val="ListParagraph"/>
        <w:numPr>
          <w:ilvl w:val="0"/>
          <w:numId w:val="38"/>
        </w:numPr>
        <w:spacing w:after="0"/>
        <w:ind w:leftChars="0"/>
        <w:rPr>
          <w:b/>
          <w:u w:val="single"/>
        </w:rPr>
      </w:pPr>
      <w:r>
        <w:rPr>
          <w:b/>
          <w:u w:val="single"/>
        </w:rPr>
        <w:t>Keep the FGs separately from supporting 32 HARQ processes in NTN;</w:t>
      </w:r>
    </w:p>
    <w:p w14:paraId="59E2405D" w14:textId="77777777" w:rsidR="00C42051" w:rsidRPr="006A74CB" w:rsidRDefault="00C42051" w:rsidP="00C42051">
      <w:pPr>
        <w:pStyle w:val="ListParagraph"/>
        <w:numPr>
          <w:ilvl w:val="0"/>
          <w:numId w:val="38"/>
        </w:numPr>
        <w:spacing w:after="0"/>
        <w:ind w:leftChars="0"/>
        <w:rPr>
          <w:b/>
          <w:u w:val="single"/>
        </w:rPr>
      </w:pPr>
      <w:r>
        <w:rPr>
          <w:b/>
          <w:u w:val="single"/>
        </w:rPr>
        <w:t>Remove “FFS: 120 kHz” in the two FGs;</w:t>
      </w:r>
    </w:p>
    <w:p w14:paraId="57CC02F4" w14:textId="77777777" w:rsidR="00C42051" w:rsidRPr="006A74CB" w:rsidRDefault="00C42051" w:rsidP="00C42051">
      <w:pPr>
        <w:pStyle w:val="ListParagraph"/>
        <w:numPr>
          <w:ilvl w:val="0"/>
          <w:numId w:val="38"/>
        </w:numPr>
        <w:spacing w:after="0"/>
        <w:ind w:leftChars="0"/>
        <w:rPr>
          <w:b/>
          <w:u w:val="single"/>
        </w:rPr>
      </w:pPr>
      <w:r>
        <w:rPr>
          <w:b/>
          <w:u w:val="single"/>
        </w:rPr>
        <w:t>“Type” of the FGs are per FSPC.</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712A2678" w:rsidR="009D3832" w:rsidRPr="00F34076" w:rsidRDefault="00F34076" w:rsidP="007B2064">
      <w:pPr>
        <w:jc w:val="both"/>
        <w:rPr>
          <w:lang w:val="en-US" w:eastAsia="ja-JP"/>
        </w:rPr>
      </w:pPr>
      <w:r>
        <w:rPr>
          <w:lang w:val="en-US" w:eastAsia="ja-JP"/>
        </w:rPr>
        <w:t xml:space="preserve">[1] </w:t>
      </w:r>
      <w:r w:rsidR="00184451">
        <w:rPr>
          <w:lang w:val="en-US" w:eastAsia="ja-JP"/>
        </w:rPr>
        <w:t>R1-2112902</w:t>
      </w:r>
      <w:r w:rsidR="00A31EC1">
        <w:rPr>
          <w:lang w:val="en-US" w:eastAsia="ja-JP"/>
        </w:rPr>
        <w:t xml:space="preserve">, </w:t>
      </w:r>
      <w:r w:rsidR="007B2064" w:rsidRPr="007B2064">
        <w:rPr>
          <w:lang w:val="en-US" w:eastAsia="ja-JP"/>
        </w:rPr>
        <w:t>Summary of UE features for supporting NR from 52.6 GHz to 71 GHz</w:t>
      </w:r>
      <w:r w:rsidR="00A31EC1">
        <w:rPr>
          <w:lang w:val="en-US" w:eastAsia="ja-JP"/>
        </w:rPr>
        <w:t xml:space="preserve">, </w:t>
      </w:r>
      <w:r w:rsidR="007B2064">
        <w:rPr>
          <w:lang w:val="en-US" w:eastAsia="ja-JP"/>
        </w:rPr>
        <w:t>Moderators (AT&amp;T</w:t>
      </w:r>
      <w:r w:rsidR="00A31EC1" w:rsidRPr="00A31EC1">
        <w:rPr>
          <w:lang w:val="en-US" w:eastAsia="ja-JP"/>
        </w:rPr>
        <w:t>)</w:t>
      </w:r>
      <w:r w:rsidR="00A31EC1">
        <w:rPr>
          <w:lang w:val="en-US" w:eastAsia="ja-JP"/>
        </w:rPr>
        <w:t xml:space="preserve">, </w:t>
      </w:r>
      <w:r w:rsidR="00184451">
        <w:rPr>
          <w:lang w:val="en-US" w:eastAsia="ja-JP"/>
        </w:rPr>
        <w:t>Nov</w:t>
      </w:r>
      <w:r w:rsidR="00A31EC1">
        <w:rPr>
          <w:lang w:val="en-US" w:eastAsia="ja-JP"/>
        </w:rPr>
        <w:t xml:space="preserve">, 2021. </w:t>
      </w:r>
    </w:p>
    <w:sectPr w:rsidR="009D3832" w:rsidRPr="00F3407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06F12" w14:textId="77777777" w:rsidR="008D4B1A" w:rsidRDefault="008D4B1A" w:rsidP="00083046">
      <w:r>
        <w:separator/>
      </w:r>
    </w:p>
  </w:endnote>
  <w:endnote w:type="continuationSeparator" w:id="0">
    <w:p w14:paraId="1D62549A" w14:textId="77777777" w:rsidR="008D4B1A" w:rsidRDefault="008D4B1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2A802" w14:textId="77777777" w:rsidR="008D4B1A" w:rsidRDefault="008D4B1A" w:rsidP="00083046">
      <w:r>
        <w:separator/>
      </w:r>
    </w:p>
  </w:footnote>
  <w:footnote w:type="continuationSeparator" w:id="0">
    <w:p w14:paraId="7AA70224" w14:textId="77777777" w:rsidR="008D4B1A" w:rsidRDefault="008D4B1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BA2"/>
    <w:multiLevelType w:val="hybridMultilevel"/>
    <w:tmpl w:val="3F96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1"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5"/>
  </w:num>
  <w:num w:numId="4">
    <w:abstractNumId w:val="33"/>
  </w:num>
  <w:num w:numId="5">
    <w:abstractNumId w:val="22"/>
  </w:num>
  <w:num w:numId="6">
    <w:abstractNumId w:val="34"/>
  </w:num>
  <w:num w:numId="7">
    <w:abstractNumId w:val="23"/>
  </w:num>
  <w:num w:numId="8">
    <w:abstractNumId w:val="9"/>
  </w:num>
  <w:num w:numId="9">
    <w:abstractNumId w:val="4"/>
  </w:num>
  <w:num w:numId="10">
    <w:abstractNumId w:val="6"/>
  </w:num>
  <w:num w:numId="11">
    <w:abstractNumId w:val="28"/>
  </w:num>
  <w:num w:numId="12">
    <w:abstractNumId w:val="15"/>
  </w:num>
  <w:num w:numId="13">
    <w:abstractNumId w:val="10"/>
  </w:num>
  <w:num w:numId="14">
    <w:abstractNumId w:val="13"/>
  </w:num>
  <w:num w:numId="15">
    <w:abstractNumId w:val="29"/>
  </w:num>
  <w:num w:numId="16">
    <w:abstractNumId w:val="11"/>
  </w:num>
  <w:num w:numId="17">
    <w:abstractNumId w:val="16"/>
  </w:num>
  <w:num w:numId="18">
    <w:abstractNumId w:val="29"/>
  </w:num>
  <w:num w:numId="19">
    <w:abstractNumId w:val="0"/>
  </w:num>
  <w:num w:numId="20">
    <w:abstractNumId w:val="17"/>
  </w:num>
  <w:num w:numId="21">
    <w:abstractNumId w:val="19"/>
  </w:num>
  <w:num w:numId="22">
    <w:abstractNumId w:val="7"/>
  </w:num>
  <w:num w:numId="23">
    <w:abstractNumId w:val="31"/>
  </w:num>
  <w:num w:numId="24">
    <w:abstractNumId w:val="27"/>
  </w:num>
  <w:num w:numId="25">
    <w:abstractNumId w:val="8"/>
  </w:num>
  <w:num w:numId="26">
    <w:abstractNumId w:val="21"/>
  </w:num>
  <w:num w:numId="27">
    <w:abstractNumId w:val="18"/>
  </w:num>
  <w:num w:numId="28">
    <w:abstractNumId w:val="14"/>
  </w:num>
  <w:num w:numId="29">
    <w:abstractNumId w:val="30"/>
  </w:num>
  <w:num w:numId="30">
    <w:abstractNumId w:val="2"/>
  </w:num>
  <w:num w:numId="31">
    <w:abstractNumId w:val="20"/>
  </w:num>
  <w:num w:numId="32">
    <w:abstractNumId w:val="3"/>
  </w:num>
  <w:num w:numId="33">
    <w:abstractNumId w:val="35"/>
  </w:num>
  <w:num w:numId="34">
    <w:abstractNumId w:val="24"/>
  </w:num>
  <w:num w:numId="35">
    <w:abstractNumId w:val="32"/>
  </w:num>
  <w:num w:numId="36">
    <w:abstractNumId w:val="26"/>
  </w:num>
  <w:num w:numId="37">
    <w:abstractNumId w:val="1"/>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6EC2"/>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5E00"/>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892"/>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67"/>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286"/>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3CF"/>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451"/>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0A3"/>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5DD0"/>
    <w:rsid w:val="00266890"/>
    <w:rsid w:val="00266901"/>
    <w:rsid w:val="00266985"/>
    <w:rsid w:val="002669E5"/>
    <w:rsid w:val="00266A3B"/>
    <w:rsid w:val="00266A6D"/>
    <w:rsid w:val="00266C95"/>
    <w:rsid w:val="002679C3"/>
    <w:rsid w:val="0027034B"/>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4AE8"/>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B1"/>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435"/>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3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0F0"/>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642"/>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7B"/>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C76"/>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192"/>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387"/>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1A3"/>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4CB"/>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DF9"/>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06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1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4B1A"/>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0A6"/>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165C"/>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1EC1"/>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4932"/>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E06"/>
    <w:rsid w:val="00AE7FA8"/>
    <w:rsid w:val="00AF032B"/>
    <w:rsid w:val="00AF0569"/>
    <w:rsid w:val="00AF05C7"/>
    <w:rsid w:val="00AF05EB"/>
    <w:rsid w:val="00AF0AF9"/>
    <w:rsid w:val="00AF0C3B"/>
    <w:rsid w:val="00AF0E2B"/>
    <w:rsid w:val="00AF10C0"/>
    <w:rsid w:val="00AF1100"/>
    <w:rsid w:val="00AF1310"/>
    <w:rsid w:val="00AF1F04"/>
    <w:rsid w:val="00AF2653"/>
    <w:rsid w:val="00AF2A2B"/>
    <w:rsid w:val="00AF2DD0"/>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97"/>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051"/>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0D3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0800"/>
    <w:rsid w:val="00DB0B35"/>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6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33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B9122-3A82-4FBA-B520-7A8AD4BD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2022-01-10T23:12:00Z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